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0" w:rsidRPr="00437050" w:rsidRDefault="00437050" w:rsidP="00437050">
      <w:pPr>
        <w:pStyle w:val="StronaTytuowaAutorzy"/>
        <w:spacing w:line="120" w:lineRule="atLeast"/>
        <w:rPr>
          <w:rFonts w:asciiTheme="majorHAnsi" w:hAnsiTheme="majorHAnsi"/>
          <w:sz w:val="22"/>
          <w:szCs w:val="22"/>
        </w:rPr>
      </w:pPr>
    </w:p>
    <w:p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color w:val="00B0F0"/>
          <w:sz w:val="22"/>
          <w:szCs w:val="22"/>
        </w:rPr>
      </w:pPr>
    </w:p>
    <w:p w:rsidR="00A67E9D" w:rsidRPr="00437050" w:rsidRDefault="00A67E9D" w:rsidP="00437050">
      <w:pPr>
        <w:pStyle w:val="Nagwek4"/>
        <w:spacing w:line="120" w:lineRule="atLeast"/>
        <w:jc w:val="right"/>
        <w:rPr>
          <w:rFonts w:asciiTheme="majorHAnsi" w:hAnsiTheme="majorHAnsi"/>
          <w:b w:val="0"/>
          <w:bCs w:val="0"/>
          <w:sz w:val="22"/>
          <w:szCs w:val="22"/>
        </w:rPr>
      </w:pPr>
    </w:p>
    <w:p w:rsidR="004F1C69" w:rsidRDefault="004F1C69" w:rsidP="00437050">
      <w:pPr>
        <w:pStyle w:val="StronaTytuowaTytu"/>
        <w:spacing w:line="120" w:lineRule="atLeast"/>
      </w:pPr>
    </w:p>
    <w:p w:rsidR="00AC4A3B" w:rsidRDefault="00AC4A3B" w:rsidP="00AC4A3B">
      <w:pPr>
        <w:pStyle w:val="Tytu"/>
        <w:jc w:val="center"/>
      </w:pPr>
      <w:r>
        <w:t>MateMa</w:t>
      </w:r>
      <w:r w:rsidRPr="00405677">
        <w:t>tyka</w:t>
      </w:r>
    </w:p>
    <w:p w:rsidR="00AC4A3B" w:rsidRPr="00AC4A3B" w:rsidRDefault="00AC4A3B" w:rsidP="00AC4A3B">
      <w:pPr>
        <w:pStyle w:val="Tytu"/>
        <w:jc w:val="center"/>
      </w:pPr>
      <w:r>
        <w:t>klasa 1</w:t>
      </w:r>
      <w:r>
        <w:br/>
        <w:t xml:space="preserve"> zakres podstawowy</w:t>
      </w:r>
      <w:r>
        <w:br/>
      </w:r>
      <w:r>
        <w:br/>
      </w:r>
    </w:p>
    <w:p w:rsidR="00A67E9D" w:rsidRDefault="00AC4A3B" w:rsidP="00AC4A3B">
      <w:pPr>
        <w:pStyle w:val="Tytu"/>
        <w:jc w:val="center"/>
      </w:pPr>
      <w:r>
        <w:t>Przedmiotowy system</w:t>
      </w:r>
      <w:r w:rsidR="00A67E9D" w:rsidRPr="00B67F21">
        <w:t xml:space="preserve"> oceniania </w:t>
      </w:r>
      <w:r w:rsidR="00A67E9D" w:rsidRPr="00B67F21">
        <w:br/>
        <w:t>wraz z określeniem wymagań edukacyjnych</w:t>
      </w:r>
      <w:r>
        <w:br/>
      </w:r>
    </w:p>
    <w:p w:rsidR="00AC4A3B" w:rsidRDefault="00AC4A3B" w:rsidP="00AC4A3B"/>
    <w:p w:rsidR="00AC4A3B" w:rsidRPr="00AC4A3B" w:rsidRDefault="00AC4A3B" w:rsidP="00AC4A3B"/>
    <w:p w:rsidR="006748CD" w:rsidRDefault="006748CD" w:rsidP="006748CD">
      <w:pPr>
        <w:pStyle w:val="Podtytu"/>
        <w:jc w:val="right"/>
      </w:pPr>
      <w:r w:rsidRPr="006748CD">
        <w:rPr>
          <w:b/>
        </w:rPr>
        <w:t>Zespół nauczycieli matematyki</w:t>
      </w:r>
      <w:r>
        <w:br/>
        <w:t>Liceum Ogólnokształcące</w:t>
      </w:r>
    </w:p>
    <w:p w:rsidR="006748CD" w:rsidRPr="006748CD" w:rsidRDefault="006748CD" w:rsidP="006748CD">
      <w:pPr>
        <w:jc w:val="righ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6748C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Im. Janka Bytnara</w:t>
      </w:r>
    </w:p>
    <w:p w:rsidR="006748CD" w:rsidRPr="00437050" w:rsidRDefault="006748CD" w:rsidP="006748CD">
      <w:pPr>
        <w:pStyle w:val="Podtytu"/>
        <w:jc w:val="right"/>
      </w:pPr>
      <w:r>
        <w:t>w Kolbuszowej</w:t>
      </w:r>
    </w:p>
    <w:p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="00B67F21" w:rsidRDefault="00B67F21" w:rsidP="00437050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437050" w:rsidRDefault="006748CD" w:rsidP="00437050">
      <w:pPr>
        <w:spacing w:line="120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Kolbuszowa, wrzesień 2022r.</w:t>
      </w:r>
      <w:r w:rsidR="00A67E9D" w:rsidRPr="00437050">
        <w:rPr>
          <w:rFonts w:asciiTheme="majorHAnsi" w:hAnsiTheme="majorHAnsi"/>
          <w:sz w:val="22"/>
          <w:szCs w:val="22"/>
        </w:rPr>
        <w:br w:type="page"/>
      </w:r>
    </w:p>
    <w:p w:rsidR="00713358" w:rsidRPr="00437050" w:rsidRDefault="00713358" w:rsidP="00437050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6748CD" w:rsidRPr="003E274B" w:rsidRDefault="006748CD" w:rsidP="006748CD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t>Ocenianie ucznia odbywa się zgodnie z:</w:t>
      </w:r>
    </w:p>
    <w:p w:rsidR="006748CD" w:rsidRPr="000F69B4" w:rsidRDefault="006748CD" w:rsidP="006748CD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rStyle w:val="Uwydatnienie"/>
          <w:sz w:val="20"/>
          <w:szCs w:val="20"/>
        </w:rPr>
        <w:t>Ustawą</w:t>
      </w:r>
      <w:r w:rsidRPr="000F69B4">
        <w:rPr>
          <w:rStyle w:val="st"/>
          <w:sz w:val="20"/>
          <w:szCs w:val="20"/>
        </w:rPr>
        <w:t xml:space="preserve"> z dnia 20 lutego </w:t>
      </w:r>
      <w:r w:rsidRPr="000F69B4">
        <w:rPr>
          <w:rStyle w:val="Uwydatnienie"/>
          <w:sz w:val="20"/>
          <w:szCs w:val="20"/>
        </w:rPr>
        <w:t>2015</w:t>
      </w:r>
      <w:r w:rsidRPr="000F69B4">
        <w:rPr>
          <w:rStyle w:val="st"/>
          <w:sz w:val="20"/>
          <w:szCs w:val="20"/>
        </w:rPr>
        <w:t xml:space="preserve"> r. o zmianie </w:t>
      </w:r>
      <w:r w:rsidRPr="000F69B4">
        <w:rPr>
          <w:rStyle w:val="Uwydatnienie"/>
          <w:sz w:val="20"/>
          <w:szCs w:val="20"/>
        </w:rPr>
        <w:t>ustawy o systemie oświaty</w:t>
      </w:r>
      <w:r w:rsidRPr="000F69B4">
        <w:rPr>
          <w:rStyle w:val="st"/>
          <w:sz w:val="20"/>
          <w:szCs w:val="20"/>
        </w:rPr>
        <w:t xml:space="preserve"> oraz niektórych innych </w:t>
      </w:r>
      <w:r w:rsidRPr="000F69B4">
        <w:rPr>
          <w:rStyle w:val="Uwydatnienie"/>
          <w:sz w:val="20"/>
          <w:szCs w:val="20"/>
        </w:rPr>
        <w:t>ustaw</w:t>
      </w:r>
    </w:p>
    <w:p w:rsidR="006748CD" w:rsidRPr="000F69B4" w:rsidRDefault="006748CD" w:rsidP="006748CD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Rozporządzeniem Ministra Edukacji Narodowej z dnia 10 czerwca 2015 r. w sprawie oceniania, klasyfikowania i promowania uczniów i słuchaczy oraz przeprowadzania egzaminów i sprawdzianów w szkołach publicznych</w:t>
      </w:r>
    </w:p>
    <w:p w:rsidR="006748CD" w:rsidRPr="000F69B4" w:rsidRDefault="006748CD" w:rsidP="006748CD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Statutem LO obejmującym zasady oceniania wewnątrzszkolnego; </w:t>
      </w:r>
    </w:p>
    <w:p w:rsidR="006748CD" w:rsidRPr="000F69B4" w:rsidRDefault="006748CD" w:rsidP="006748CD">
      <w:pPr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Standardami wymagań, będącymi podstawą przeprowadzenia egzaminu maturalnego z matematyki, które obejmują pięć obszarów:</w:t>
      </w:r>
    </w:p>
    <w:p w:rsidR="006748CD" w:rsidRPr="000F69B4" w:rsidRDefault="006748CD" w:rsidP="006748CD">
      <w:pPr>
        <w:numPr>
          <w:ilvl w:val="1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Wykorzystanie i tworzenie informacji</w:t>
      </w:r>
    </w:p>
    <w:p w:rsidR="006748CD" w:rsidRPr="000F69B4" w:rsidRDefault="006748CD" w:rsidP="006748CD">
      <w:pPr>
        <w:numPr>
          <w:ilvl w:val="1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Wykorzystanie i interpretowanie reprezentacji</w:t>
      </w:r>
    </w:p>
    <w:p w:rsidR="006748CD" w:rsidRPr="000F69B4" w:rsidRDefault="006748CD" w:rsidP="006748CD">
      <w:pPr>
        <w:numPr>
          <w:ilvl w:val="1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Modelowanie matematyczne</w:t>
      </w:r>
    </w:p>
    <w:p w:rsidR="006748CD" w:rsidRPr="000F69B4" w:rsidRDefault="006748CD" w:rsidP="006748CD">
      <w:pPr>
        <w:numPr>
          <w:ilvl w:val="1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Użycie i tworzenie strategii</w:t>
      </w:r>
    </w:p>
    <w:p w:rsidR="006748CD" w:rsidRPr="000F69B4" w:rsidRDefault="006748CD" w:rsidP="006748CD">
      <w:pPr>
        <w:numPr>
          <w:ilvl w:val="1"/>
          <w:numId w:val="20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Rozumienie i argumentacja.</w:t>
      </w:r>
    </w:p>
    <w:p w:rsidR="006748CD" w:rsidRPr="000F69B4" w:rsidRDefault="006748CD" w:rsidP="006748CD">
      <w:pPr>
        <w:jc w:val="both"/>
        <w:rPr>
          <w:b/>
        </w:rPr>
      </w:pPr>
    </w:p>
    <w:p w:rsidR="006748CD" w:rsidRPr="000F69B4" w:rsidRDefault="006748CD" w:rsidP="006748CD">
      <w:pPr>
        <w:jc w:val="both"/>
        <w:rPr>
          <w:b/>
        </w:rPr>
      </w:pPr>
      <w:r w:rsidRPr="000F69B4">
        <w:rPr>
          <w:b/>
        </w:rPr>
        <w:t>Cele oceniania przedmiotowego:</w:t>
      </w:r>
    </w:p>
    <w:p w:rsidR="006748CD" w:rsidRPr="000F69B4" w:rsidRDefault="006748CD" w:rsidP="006748CD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oceniamy postępy ucznia wskazując mu co osiągnął, co zrobił dobrze,</w:t>
      </w:r>
    </w:p>
    <w:p w:rsidR="006748CD" w:rsidRPr="000F69B4" w:rsidRDefault="006748CD" w:rsidP="006748CD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informujemy ucznia o postępie i poziomie jego osiągnięć edukacyjnych,</w:t>
      </w:r>
    </w:p>
    <w:p w:rsidR="006748CD" w:rsidRPr="000F69B4" w:rsidRDefault="006748CD" w:rsidP="006748CD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pomagamy w samodzielnym planowaniu jego rozwoju,</w:t>
      </w:r>
    </w:p>
    <w:p w:rsidR="006748CD" w:rsidRPr="000F69B4" w:rsidRDefault="006748CD" w:rsidP="006748CD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wskazujemy jak pracować i motywujemy do dalszej pracy,</w:t>
      </w:r>
    </w:p>
    <w:p w:rsidR="006748CD" w:rsidRPr="000F69B4" w:rsidRDefault="006748CD" w:rsidP="006748CD">
      <w:pPr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dostarczamy rodzicom informacji o postępach, trudnościach i uzdolnieniach.</w:t>
      </w:r>
    </w:p>
    <w:p w:rsidR="006748CD" w:rsidRPr="000F69B4" w:rsidRDefault="006748CD" w:rsidP="006748CD">
      <w:pPr>
        <w:jc w:val="both"/>
      </w:pPr>
    </w:p>
    <w:p w:rsidR="006748CD" w:rsidRPr="00301644" w:rsidRDefault="006748CD" w:rsidP="006748CD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t>I. Ustalenia ogólne:</w:t>
      </w:r>
    </w:p>
    <w:p w:rsidR="006748CD" w:rsidRPr="000F69B4" w:rsidRDefault="006748CD" w:rsidP="006748CD">
      <w:pPr>
        <w:numPr>
          <w:ilvl w:val="0"/>
          <w:numId w:val="21"/>
        </w:numPr>
        <w:rPr>
          <w:b/>
          <w:sz w:val="20"/>
          <w:szCs w:val="20"/>
        </w:rPr>
      </w:pPr>
      <w:r w:rsidRPr="000F69B4">
        <w:rPr>
          <w:sz w:val="20"/>
          <w:szCs w:val="20"/>
        </w:rPr>
        <w:t>Każdy uczeń jest oceniany jawnie i zgodnie z zasadami sprawiedliwości</w:t>
      </w:r>
      <w:r w:rsidRPr="000F69B4">
        <w:rPr>
          <w:b/>
          <w:sz w:val="20"/>
          <w:szCs w:val="20"/>
        </w:rPr>
        <w:t>.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Oceniany jest  przyrost wiedzy i umiejętności ucznia według wymagań edukacyjnych ze wskazaniem na podwyższenie oceny za osiągnięcia ucznia w konkursach i olimpiadach matematycznych.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Uczeń ma  obowiązek</w:t>
      </w:r>
      <w:r w:rsidRPr="000F69B4">
        <w:rPr>
          <w:sz w:val="20"/>
          <w:szCs w:val="20"/>
        </w:rPr>
        <w:t xml:space="preserve"> rzetelnego przygotowywania się na lekcje matematyki co oznacza:</w:t>
      </w:r>
    </w:p>
    <w:p w:rsidR="006748CD" w:rsidRPr="000F69B4" w:rsidRDefault="006748CD" w:rsidP="006748CD">
      <w:pPr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systematyczne prowadzenie zeszytu lub skoroszytu przedmiotowego,</w:t>
      </w:r>
    </w:p>
    <w:p w:rsidR="006748CD" w:rsidRPr="000F69B4" w:rsidRDefault="006748CD" w:rsidP="006748CD">
      <w:pPr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posiadanie przyborów geometrycznych wskazanych przez nauczyciela,</w:t>
      </w:r>
    </w:p>
    <w:p w:rsidR="006748CD" w:rsidRPr="000F69B4" w:rsidRDefault="006748CD" w:rsidP="006748CD">
      <w:pPr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odrabianie zadań domowych,</w:t>
      </w:r>
    </w:p>
    <w:p w:rsidR="006748CD" w:rsidRPr="000F69B4" w:rsidRDefault="006748CD" w:rsidP="006748CD">
      <w:pPr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przygotowywanie się do odpowiedzi ustnej (obejmującej 3 ostatnie lekcje) oraz pisemnej niezapowiedzianej (kartkówki z 3 ostatnich lekcji), pisemnej zapowiedzianej z zakresu materiału, który został ustalony przez nauczyciela. Odpowiedź ustna i kartkówka nie podlega poprawie.</w:t>
      </w:r>
    </w:p>
    <w:p w:rsidR="006748CD" w:rsidRPr="000F69B4" w:rsidRDefault="006748CD" w:rsidP="006748CD">
      <w:pPr>
        <w:spacing w:line="276" w:lineRule="auto"/>
        <w:ind w:left="720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Sprawdziany</w:t>
      </w:r>
      <w:r w:rsidRPr="000F69B4">
        <w:rPr>
          <w:sz w:val="20"/>
          <w:szCs w:val="20"/>
        </w:rPr>
        <w:t>.</w:t>
      </w:r>
    </w:p>
    <w:p w:rsidR="006748CD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Badanie wyników nauczania obejmuje materiał ustalony przez grupę nauczycieli matematyki, zapowiedziana</w:t>
      </w:r>
      <w:r w:rsidRPr="000F69B4">
        <w:rPr>
          <w:sz w:val="20"/>
          <w:szCs w:val="20"/>
        </w:rPr>
        <w:br/>
        <w:t xml:space="preserve"> co najmniej z dwutygodniowym wyprzedzeniem i podaniem zakresu wymaganego materiału. Nie podlega poprawie.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Sprawdzian kompetencji matematycznych po szkole podstawowej tzw. Test na wejście przeprowadzany jest we wszystkich klasach pierwszych do 15 września danego roku szkolnego. 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Planowany sprawdzian, praca klasowa zapowiadana jest co najmniej z tygodniowym wyprzedzeniem wraz z podaniem zakresu materiału objętego kontrolą; rezerwacji terminu dokonuje nauczyciel  w dzienniku lekcyjnym w terminarzu danej klasy również z tygodniowym wyprzedzeniem. Trwa 45-90 minut</w:t>
      </w:r>
    </w:p>
    <w:p w:rsidR="006748CD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323AB9">
        <w:rPr>
          <w:sz w:val="20"/>
          <w:szCs w:val="20"/>
        </w:rPr>
        <w:t>Praca pisemna przeprowadzana jest po każdym zrealizowanym dziale. Uczeń</w:t>
      </w:r>
      <w:r>
        <w:rPr>
          <w:sz w:val="20"/>
          <w:szCs w:val="20"/>
        </w:rPr>
        <w:t>,</w:t>
      </w:r>
      <w:r w:rsidRPr="00323AB9">
        <w:rPr>
          <w:sz w:val="20"/>
          <w:szCs w:val="20"/>
        </w:rPr>
        <w:t xml:space="preserve"> który opuścił pracę pisemną z przyczyn usprawiedliwionych ma obowiązek napisać ją w ciągu tygodnia od dnia powrotu do szkoły lub w innym terminie ustalonym przez nauczyciela. </w:t>
      </w:r>
    </w:p>
    <w:p w:rsidR="006748CD" w:rsidRPr="00323AB9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323AB9">
        <w:rPr>
          <w:sz w:val="20"/>
          <w:szCs w:val="20"/>
        </w:rPr>
        <w:t>Nie ocenia się negatywnie ucznia w dniu powrotu do szkoły po dłuższej (co najmniej tygodniowej) usprawiedliwionej nieobecności, lub ucznia znajdującego się w trudnej sytuacji losowej (wypadek, śmierć bliskiej osoby, inne przyczyny niezależne od ucznia).</w:t>
      </w:r>
    </w:p>
    <w:p w:rsidR="006748CD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lastRenderedPageBreak/>
        <w:t>Uczeń który z pracy pisemnej otrzymał ocenę niedostateczną ma prawo do jednokrotnego napisania sprawdzianu popra</w:t>
      </w:r>
      <w:r>
        <w:rPr>
          <w:sz w:val="20"/>
          <w:szCs w:val="20"/>
        </w:rPr>
        <w:t>wkowego w ciągu dwóch tygodni</w:t>
      </w:r>
      <w:r w:rsidRPr="000F69B4">
        <w:rPr>
          <w:sz w:val="20"/>
          <w:szCs w:val="20"/>
        </w:rPr>
        <w:t xml:space="preserve"> od dnia oddania sprawdzianu. Termin i czas napisania pracy poprawkowej wyznacza nauczyciel.</w:t>
      </w:r>
    </w:p>
    <w:p w:rsidR="006748CD" w:rsidRPr="006748CD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6748CD">
        <w:rPr>
          <w:b/>
          <w:sz w:val="20"/>
          <w:szCs w:val="20"/>
        </w:rPr>
        <w:t>Na sprawdzianach, kartkówkach oraz egzaminach klasyfikacyjnych i poprawkowych można korzystać</w:t>
      </w:r>
      <w:r>
        <w:rPr>
          <w:b/>
          <w:sz w:val="20"/>
          <w:szCs w:val="20"/>
        </w:rPr>
        <w:t xml:space="preserve"> </w:t>
      </w:r>
      <w:r w:rsidRPr="006748CD">
        <w:rPr>
          <w:sz w:val="20"/>
          <w:szCs w:val="20"/>
        </w:rPr>
        <w:t xml:space="preserve">z kalkulatora, ale nie może być to kalkulator w telefonie komórkowym; z  jednego kalkulatora może korzystać tylko jeden uczeń. Na sprawdzianach można korzystać z pomocy przygotowanych przez nauczyciela. W pracach pisemnych nie należy używać koloru zielonego i czerwonego. 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Usprawiedliwienia.</w:t>
      </w:r>
      <w:r w:rsidRPr="000F69B4">
        <w:rPr>
          <w:sz w:val="20"/>
          <w:szCs w:val="20"/>
        </w:rPr>
        <w:t xml:space="preserve"> Fakt nieprzygotowania się ucznia do lekcji nie może być traktowany jako przywilej, ale jest zdarzeniem wynikającym z okoliczności życiowych i w związku z tym sprawę tę regulują następujące ustalenia:</w:t>
      </w:r>
    </w:p>
    <w:p w:rsidR="006748CD" w:rsidRPr="002D72CA" w:rsidRDefault="006748CD" w:rsidP="006748CD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 xml:space="preserve">uczeń </w:t>
      </w:r>
      <w:r>
        <w:rPr>
          <w:sz w:val="20"/>
          <w:szCs w:val="20"/>
        </w:rPr>
        <w:t>powinien</w:t>
      </w:r>
      <w:r w:rsidRPr="000F69B4">
        <w:rPr>
          <w:sz w:val="20"/>
          <w:szCs w:val="20"/>
        </w:rPr>
        <w:t xml:space="preserve"> zgłosić </w:t>
      </w:r>
      <w:r>
        <w:rPr>
          <w:sz w:val="20"/>
          <w:szCs w:val="20"/>
        </w:rPr>
        <w:t>swoje ewentualne nieprzygotowanie</w:t>
      </w:r>
      <w:r w:rsidRPr="000F69B4">
        <w:rPr>
          <w:sz w:val="20"/>
          <w:szCs w:val="20"/>
        </w:rPr>
        <w:t xml:space="preserve"> do lekcji (na początku lekc</w:t>
      </w:r>
      <w:r>
        <w:rPr>
          <w:sz w:val="20"/>
          <w:szCs w:val="20"/>
        </w:rPr>
        <w:t>ji wraz z podaniem przyczyny) – nauczyciel odnotowuje ten fakt w dzienniku,</w:t>
      </w:r>
    </w:p>
    <w:p w:rsidR="006748CD" w:rsidRPr="000F69B4" w:rsidRDefault="006748CD" w:rsidP="006748CD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>brak zeszytu traktowany</w:t>
      </w:r>
      <w:r>
        <w:rPr>
          <w:sz w:val="20"/>
          <w:szCs w:val="20"/>
        </w:rPr>
        <w:t xml:space="preserve"> jest jak brak zadania domowego,</w:t>
      </w:r>
    </w:p>
    <w:p w:rsidR="006748CD" w:rsidRPr="000F69B4" w:rsidRDefault="006748CD" w:rsidP="006748CD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>uczeń nie może zgłosić nieprzygotowania do lekcji powtórzeniowej, zapowiedzianej kartkówki i sprawdzianu.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b/>
          <w:sz w:val="20"/>
          <w:szCs w:val="20"/>
        </w:rPr>
      </w:pPr>
      <w:r w:rsidRPr="000F69B4">
        <w:rPr>
          <w:b/>
          <w:sz w:val="20"/>
          <w:szCs w:val="20"/>
        </w:rPr>
        <w:t>Zadanie dodatkowe (krótko- lub długoterminowe)</w:t>
      </w:r>
      <w:r w:rsidRPr="000F69B4">
        <w:rPr>
          <w:sz w:val="20"/>
          <w:szCs w:val="20"/>
        </w:rPr>
        <w:t xml:space="preserve"> może być zadaniem wykonywanym w określonym terminie samodzielnie przez ucznia lub grupę uczniów, zgodnie ze wskazówkami i zasadami oceniania ustalonymi przez nauczyciela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b/>
          <w:sz w:val="20"/>
          <w:szCs w:val="20"/>
        </w:rPr>
      </w:pPr>
      <w:r w:rsidRPr="000F69B4">
        <w:rPr>
          <w:b/>
          <w:sz w:val="20"/>
          <w:szCs w:val="20"/>
        </w:rPr>
        <w:t>Obecność na lekcjach</w:t>
      </w:r>
      <w:r w:rsidRPr="000F69B4">
        <w:rPr>
          <w:sz w:val="20"/>
          <w:szCs w:val="20"/>
        </w:rPr>
        <w:t xml:space="preserve">  - uczeń, który opuścił więcej niż 50% lekcji może być nieklasyfikowany.</w:t>
      </w:r>
    </w:p>
    <w:p w:rsidR="006748CD" w:rsidRPr="000F69B4" w:rsidRDefault="006748CD" w:rsidP="006748CD">
      <w:pPr>
        <w:pStyle w:val="Akapitzlist"/>
        <w:spacing w:line="276" w:lineRule="auto"/>
        <w:rPr>
          <w:sz w:val="20"/>
          <w:szCs w:val="20"/>
        </w:rPr>
      </w:pPr>
      <w:r w:rsidRPr="000F69B4">
        <w:rPr>
          <w:b/>
          <w:sz w:val="20"/>
          <w:szCs w:val="20"/>
        </w:rPr>
        <w:t>Ustalenie oceny śródrocznej i rocznej</w:t>
      </w:r>
    </w:p>
    <w:p w:rsidR="006748CD" w:rsidRDefault="006748CD" w:rsidP="006748CD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Przy ustalaniu oceny śródrocznej i rocznej stosuje się średnią ważoną.</w:t>
      </w:r>
    </w:p>
    <w:p w:rsidR="006748CD" w:rsidRPr="00BF65B0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BF65B0">
        <w:rPr>
          <w:sz w:val="20"/>
          <w:szCs w:val="20"/>
        </w:rPr>
        <w:t>Uczeń</w:t>
      </w:r>
      <w:r>
        <w:rPr>
          <w:sz w:val="20"/>
          <w:szCs w:val="20"/>
        </w:rPr>
        <w:t>,</w:t>
      </w:r>
      <w:r w:rsidRPr="00BF65B0">
        <w:rPr>
          <w:sz w:val="20"/>
          <w:szCs w:val="20"/>
        </w:rPr>
        <w:t xml:space="preserve"> aby otrzymać ocenę pozytywną śródroczną lub końcoworoczną z matematyki może nie mieć zaliczonego pozytywnie tylko je</w:t>
      </w:r>
      <w:r>
        <w:rPr>
          <w:sz w:val="20"/>
          <w:szCs w:val="20"/>
        </w:rPr>
        <w:t>dnego sprawdzianu obowiązkowego</w:t>
      </w:r>
      <w:r w:rsidRPr="00BF65B0">
        <w:rPr>
          <w:sz w:val="20"/>
          <w:szCs w:val="20"/>
        </w:rPr>
        <w:t>. Do sprawdzianów obowiązkowych zalicza się "Test na wejście" oraz "Diagnozy"</w:t>
      </w:r>
      <w:r>
        <w:rPr>
          <w:sz w:val="20"/>
          <w:szCs w:val="20"/>
        </w:rPr>
        <w:t xml:space="preserve"> (badanie wyników, matury próbne, itp.)</w:t>
      </w:r>
      <w:r w:rsidRPr="00BF65B0">
        <w:rPr>
          <w:sz w:val="20"/>
          <w:szCs w:val="20"/>
        </w:rPr>
        <w:t>. Uczeń, który nie podjął się pisania sprawdzianu powinien być świadomy konsekwencji z tego wynikających: tj. możliwości obniżenia oceny śródrocznej lub końcoworocznej wynikającej ze średniej ważonej.</w:t>
      </w:r>
    </w:p>
    <w:p w:rsidR="006748CD" w:rsidRPr="000F69B4" w:rsidRDefault="006748CD" w:rsidP="006748CD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 przypadku otrzymania śródrocznej oceny niedostatecznej uczeń ma obowiązek zaliczenia wskazanej partii materiału w terminie ustalonym przez nauczyciela, jednak nie później niż do końca marca danego roku szkolnego.</w:t>
      </w:r>
      <w:r>
        <w:rPr>
          <w:sz w:val="20"/>
          <w:szCs w:val="20"/>
        </w:rPr>
        <w:t xml:space="preserve"> Sprawdziany zaliczeniowe z pierwszego półrocza danego roku wpisywane są z wagą 1.</w:t>
      </w:r>
    </w:p>
    <w:p w:rsidR="006748CD" w:rsidRPr="000F69B4" w:rsidRDefault="006748CD" w:rsidP="006748CD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 przypadku otrzymania oceny niedostatecznej na koniec roku uczeń ma możliwość przystąpić do egzaminu poprawkowego na zasadach określonych w statucie szkoły.</w:t>
      </w:r>
    </w:p>
    <w:p w:rsidR="006748CD" w:rsidRPr="000F69B4" w:rsidRDefault="006748CD" w:rsidP="006748CD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Egzamin poprawkowy</w:t>
      </w:r>
      <w:r w:rsidRPr="000F69B4">
        <w:rPr>
          <w:sz w:val="20"/>
          <w:szCs w:val="20"/>
        </w:rPr>
        <w:t xml:space="preserve"> składa się z dwóch części: pisemnej i ustnej.</w:t>
      </w:r>
    </w:p>
    <w:p w:rsidR="006748CD" w:rsidRPr="000F69B4" w:rsidRDefault="006748CD" w:rsidP="006748CD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Część pisemna</w:t>
      </w:r>
      <w:r w:rsidRPr="000F69B4">
        <w:rPr>
          <w:sz w:val="20"/>
          <w:szCs w:val="20"/>
        </w:rPr>
        <w:t xml:space="preserve"> trwa 60 minut i obejmuje zakres wymagań zgodny z PSO. Za egzamin w części pisemnej można  uzyskać do 80% liczby wszystkich punktów  w egzaminie poprawkowym.</w:t>
      </w:r>
    </w:p>
    <w:p w:rsidR="006748CD" w:rsidRPr="000F69B4" w:rsidRDefault="006748CD" w:rsidP="006748CD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Część ustna</w:t>
      </w:r>
      <w:r w:rsidRPr="000F69B4">
        <w:rPr>
          <w:sz w:val="20"/>
          <w:szCs w:val="20"/>
        </w:rPr>
        <w:t xml:space="preserve"> trwa do 20 minut i polega na rozwiązaniu i ustnej prezentacji trzech zadań z zakresu wymagań zgodnych z PSO. Uczeń ma prawo również do 20-minutowego przygotowania się do odpowiedzi. </w:t>
      </w:r>
    </w:p>
    <w:p w:rsidR="006748CD" w:rsidRPr="000F69B4" w:rsidRDefault="006748CD" w:rsidP="006748CD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Punktacja za zadania w części ustnej stanowi 20% wszystkich punktów możliwych do uzyskania w trakcie egzaminu poprawkowego.</w:t>
      </w:r>
    </w:p>
    <w:p w:rsidR="006748CD" w:rsidRPr="000F69B4" w:rsidRDefault="006748CD" w:rsidP="006748CD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Egzamin poprawkowy</w:t>
      </w:r>
      <w:r w:rsidRPr="000F69B4">
        <w:rPr>
          <w:sz w:val="20"/>
          <w:szCs w:val="20"/>
        </w:rPr>
        <w:t xml:space="preserve"> uważa się za zdany, jeśli uczeń uzyska co najmniej 40% (łącznie z obu części) liczby punktów do zdobycia. 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Informacje dotyczące wymagań edukacyjnych oraz PSO z matematyki przekazywane są przez nauczyciela na pierwszej lekcji i fakt ten odnotowywany jest w dzienniku lekcyjnym. Wymagania umieszcza się również na stronie internetowej szkoły.</w:t>
      </w:r>
    </w:p>
    <w:p w:rsidR="006748CD" w:rsidRPr="000F69B4" w:rsidRDefault="006748CD" w:rsidP="006748CD">
      <w:pPr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 xml:space="preserve">Pozostałe zasady i warunki oceniania określają zapisy w statucie szkoły.  </w:t>
      </w:r>
    </w:p>
    <w:p w:rsidR="006748CD" w:rsidRPr="000F69B4" w:rsidRDefault="006748CD" w:rsidP="006748CD">
      <w:pPr>
        <w:spacing w:line="276" w:lineRule="auto"/>
        <w:rPr>
          <w:sz w:val="20"/>
          <w:szCs w:val="20"/>
        </w:rPr>
      </w:pPr>
    </w:p>
    <w:p w:rsidR="006748CD" w:rsidRDefault="006748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48CD" w:rsidRPr="000F69B4" w:rsidRDefault="006748CD" w:rsidP="006748CD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lastRenderedPageBreak/>
        <w:t>II. Formy oceniania</w:t>
      </w:r>
    </w:p>
    <w:p w:rsidR="006748CD" w:rsidRPr="000F69B4" w:rsidRDefault="006748CD" w:rsidP="006748CD">
      <w:pPr>
        <w:spacing w:line="276" w:lineRule="auto"/>
        <w:ind w:left="360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Osiągnięcia ucznia są sprawdzane systematycznie w ciągu roku szkolnego, a formy sprawdzania obejmują: 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sprawdziany, prace klasowe i ich poprawy – po każdym dziele realizowanego materiału /waga 4/ </w:t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sprawdziany, prace klasowe i ich poprawy (zdalnie) po każdym dziele realizowanego materiału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/waga 2</w:t>
      </w: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sprawdziany z zadań dodatkowych /waga 4/ </w:t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sprawdziany z zadań dodatkowych (zdalnie) /waga 2/</w:t>
      </w: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sprawdziany podsumowujące część działu (obejmujące więcej niż 3 lekcje) /waga 3/ </w:t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sprawdziany podsumowujące część działu (obejmujące więcej niż 3 lekcje) (zdalnie) /waga 2/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ustne /waga 2/ </w:t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odpowiedzi ustne (zdalnie) /waga 1/ 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długoterminowe /waga 2/ </w:t>
      </w:r>
    </w:p>
    <w:p w:rsidR="00154FB2" w:rsidRPr="00154FB2" w:rsidRDefault="00154FB2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kartkówki (nie więcej niż 8 w półroczu) i testy /waga 2/ </w:t>
      </w:r>
      <w:r w:rsidRPr="00154F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kartkówki (nie więcej niż 8 w półroczu) i testy (zdalnie) /waga 1/</w:t>
      </w:r>
    </w:p>
    <w:p w:rsidR="00154FB2" w:rsidRP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domowe /waga 1/</w:t>
      </w:r>
    </w:p>
    <w:p w:rsidR="00154FB2" w:rsidRP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aktywność na lekcjach /waga 1/</w:t>
      </w:r>
    </w:p>
    <w:p w:rsidR="00154FB2" w:rsidRP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 grupach /waga 1/</w:t>
      </w:r>
    </w:p>
    <w:p w:rsidR="00154FB2" w:rsidRP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maturalny w zakresie podstawowym /waga 4/</w:t>
      </w:r>
    </w:p>
    <w:p w:rsid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maturalny w zakresie rozszerzonym /waga 3/</w:t>
      </w:r>
    </w:p>
    <w:p w:rsidR="00154FB2" w:rsidRPr="00154FB2" w:rsidRDefault="006748CD" w:rsidP="00154FB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diagnostyczne, takie jak: test na wejście, matura próbna i badanie wyników nauczania są wpisywane w dzienniku, ale nie są liczone do średniej ocen.</w:t>
      </w:r>
    </w:p>
    <w:p w:rsidR="00154FB2" w:rsidRPr="00154FB2" w:rsidRDefault="00154FB2" w:rsidP="00154FB2">
      <w:pPr>
        <w:pStyle w:val="Akapitzlist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48CD" w:rsidRPr="00154FB2" w:rsidRDefault="006748CD" w:rsidP="00154FB2">
      <w:pPr>
        <w:pStyle w:val="Akapitzlist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FB2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Dodatkowo przed wystawieniem oceny śródrocznej/rocznej uczeń może uzyskać ocenę celującą z wagą 1 za wysoką frekwencję, tj. 98 – 100%  na lekcjach matematyki lub ocenę bardzo dobrą z wagą 1 za frekwencję 95 – 97%.</w:t>
      </w:r>
    </w:p>
    <w:p w:rsidR="006748CD" w:rsidRPr="000F69B4" w:rsidRDefault="006748CD" w:rsidP="006748CD">
      <w:pPr>
        <w:spacing w:line="276" w:lineRule="auto"/>
        <w:ind w:left="360" w:firstLine="348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Ocenianiu podlegają również inne formy aktywności ucznia, np. udział w konkursach  matematycznych czy olimpiadzie matematycznej według poniższych zasad:</w:t>
      </w:r>
    </w:p>
    <w:p w:rsidR="006748CD" w:rsidRPr="000F69B4" w:rsidRDefault="006748CD" w:rsidP="006748CD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udział w olimpiadzie matematycznej:</w:t>
      </w:r>
    </w:p>
    <w:p w:rsidR="006748CD" w:rsidRPr="000F69B4" w:rsidRDefault="006748CD" w:rsidP="006748CD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  <w:lang w:val="it-IT"/>
        </w:rPr>
      </w:pPr>
      <w:r w:rsidRPr="000F69B4">
        <w:rPr>
          <w:sz w:val="20"/>
          <w:szCs w:val="20"/>
          <w:lang w:val="it-IT"/>
        </w:rPr>
        <w:t>laureat i finalista olimpiady /waga 8/</w:t>
      </w:r>
    </w:p>
    <w:p w:rsidR="006748CD" w:rsidRPr="000F69B4" w:rsidRDefault="006748CD" w:rsidP="006748CD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finalista etapu okręgowego /waga </w:t>
      </w:r>
      <w:r>
        <w:rPr>
          <w:sz w:val="20"/>
          <w:szCs w:val="20"/>
        </w:rPr>
        <w:t>7</w:t>
      </w:r>
      <w:r w:rsidRPr="000F69B4">
        <w:rPr>
          <w:sz w:val="20"/>
          <w:szCs w:val="20"/>
        </w:rPr>
        <w:t>/</w:t>
      </w:r>
    </w:p>
    <w:p w:rsidR="006748CD" w:rsidRPr="000F69B4" w:rsidRDefault="006748CD" w:rsidP="006748CD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udział w II etapie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6748CD" w:rsidRPr="000F69B4" w:rsidRDefault="006748CD" w:rsidP="006748CD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udział w konkursach matematycznych</w:t>
      </w:r>
    </w:p>
    <w:p w:rsidR="006748CD" w:rsidRPr="000F69B4" w:rsidRDefault="006748CD" w:rsidP="006748CD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laureaci i wyróżnieni etapu rejonowego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6748CD" w:rsidRPr="000F69B4" w:rsidRDefault="006748CD" w:rsidP="006748CD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laureaci i wyróżnieni etapu powiatowego /waga </w:t>
      </w:r>
      <w:r>
        <w:rPr>
          <w:sz w:val="20"/>
          <w:szCs w:val="20"/>
        </w:rPr>
        <w:t>5</w:t>
      </w:r>
      <w:r w:rsidRPr="000F69B4">
        <w:rPr>
          <w:sz w:val="20"/>
          <w:szCs w:val="20"/>
        </w:rPr>
        <w:t>/</w:t>
      </w:r>
    </w:p>
    <w:p w:rsidR="006748CD" w:rsidRPr="000F69B4" w:rsidRDefault="006748CD" w:rsidP="006748CD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laureaci i wyróżnieni etapu szkolnego /waga 4/</w:t>
      </w:r>
    </w:p>
    <w:p w:rsidR="006748CD" w:rsidRPr="000F69B4" w:rsidRDefault="006748CD" w:rsidP="006748CD">
      <w:pPr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udział w konkursach jednoetapowych ogólnopolskich lub międzynarodowych – laureaci i wyróżnieni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6748CD" w:rsidRPr="000F69B4" w:rsidRDefault="006748CD" w:rsidP="006748CD">
      <w:pPr>
        <w:jc w:val="both"/>
        <w:rPr>
          <w:b/>
          <w:sz w:val="28"/>
          <w:szCs w:val="28"/>
        </w:rPr>
      </w:pPr>
    </w:p>
    <w:p w:rsidR="006748CD" w:rsidRPr="00BF7B13" w:rsidRDefault="006748CD" w:rsidP="006748CD">
      <w:pPr>
        <w:tabs>
          <w:tab w:val="left" w:pos="2880"/>
          <w:tab w:val="left" w:pos="3240"/>
        </w:tabs>
        <w:spacing w:line="276" w:lineRule="auto"/>
        <w:jc w:val="both"/>
        <w:rPr>
          <w:b/>
          <w:sz w:val="28"/>
          <w:szCs w:val="28"/>
        </w:rPr>
      </w:pPr>
      <w:r w:rsidRPr="00BF7B13">
        <w:rPr>
          <w:b/>
          <w:sz w:val="28"/>
          <w:szCs w:val="28"/>
        </w:rPr>
        <w:t>III. Stosowane ogólne kryteria ocen.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niedostateczny</w:t>
      </w:r>
      <w:r w:rsidRPr="00BF7B13">
        <w:rPr>
          <w:sz w:val="20"/>
          <w:szCs w:val="20"/>
        </w:rPr>
        <w:t xml:space="preserve"> - otrzymuje uczeń, który nie opanował wiadomości i umiejętności określonych w podstawie programowej i braki uniemożliwiają dalsze zdobywanie wiedzy z tego przedmiotu, nie jest w stanie rozwiązać samodzielnie zadań o niewielkim (elementarnym) stopniu trudności, nie uczyn</w:t>
      </w:r>
      <w:r>
        <w:rPr>
          <w:sz w:val="20"/>
          <w:szCs w:val="20"/>
        </w:rPr>
        <w:t>ił postępów w zakresie wiedzy i </w:t>
      </w:r>
      <w:r w:rsidRPr="00BF7B13">
        <w:rPr>
          <w:sz w:val="20"/>
          <w:szCs w:val="20"/>
        </w:rPr>
        <w:t>umiejętności w stosunku do poprzedniego roku szkolnego.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dopuszczający</w:t>
      </w:r>
      <w:r w:rsidRPr="00BF7B13">
        <w:rPr>
          <w:sz w:val="20"/>
          <w:szCs w:val="20"/>
        </w:rPr>
        <w:t xml:space="preserve"> - otrzymuje uczeń, który posiada wiedzę i umiejętności zawarte w podstawie programowej w takim stopniu, że zdobyta wiedza wystarcza do kontynuowania nauki, samodzielnie rozwiązuje typowe zadania teoretyczne i praktyczne o niewielkim stopniu trudności, wykazuje się znajomością i rozumieniem najprostszych pojęć i algorytmów.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dostateczny</w:t>
      </w:r>
      <w:r w:rsidRPr="00BF7B13">
        <w:rPr>
          <w:sz w:val="20"/>
          <w:szCs w:val="20"/>
        </w:rPr>
        <w:t xml:space="preserve"> - otrzymuje uczeń, który posiada wiedzę i umiejętności zawarte w podstawie programowej, samodzielnie wykonuje typowe zadania teoretyczne i praktyczne o średnim stopniu trudności.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dobry</w:t>
      </w:r>
      <w:r w:rsidRPr="00BF7B13">
        <w:rPr>
          <w:sz w:val="20"/>
          <w:szCs w:val="20"/>
        </w:rPr>
        <w:t xml:space="preserve"> – otrzymuje uczeń, który posiada wiedzę i umiejętności w zakresie przekraczającym </w:t>
      </w:r>
      <w:r>
        <w:rPr>
          <w:sz w:val="20"/>
          <w:szCs w:val="20"/>
        </w:rPr>
        <w:t xml:space="preserve"> </w:t>
      </w:r>
      <w:r w:rsidRPr="00BF7B13">
        <w:rPr>
          <w:sz w:val="20"/>
          <w:szCs w:val="20"/>
        </w:rPr>
        <w:t>podstawę programową, a zawartych w programie nauczania danej klasy, poprawnie stosuje wiadomości, rozwiązuje samodzielnie typowe zadania teoretyczne i praktyczne.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bardzo dobry</w:t>
      </w:r>
      <w:r w:rsidRPr="00BF7B13">
        <w:rPr>
          <w:sz w:val="20"/>
          <w:szCs w:val="20"/>
        </w:rPr>
        <w:t xml:space="preserve"> – otrzymuje uczeń, który opanował pełny zakres </w:t>
      </w:r>
      <w:r>
        <w:rPr>
          <w:sz w:val="20"/>
          <w:szCs w:val="20"/>
        </w:rPr>
        <w:t xml:space="preserve">wiedzy i umiejętności określony </w:t>
      </w:r>
      <w:r w:rsidRPr="00BF7B13">
        <w:rPr>
          <w:sz w:val="20"/>
          <w:szCs w:val="20"/>
        </w:rPr>
        <w:t xml:space="preserve">programem nauczania w danej klasie, sprawnie posługuje się zdobytymi wiadomościami, </w:t>
      </w:r>
      <w:r w:rsidRPr="00BF7B13">
        <w:rPr>
          <w:sz w:val="20"/>
          <w:szCs w:val="20"/>
        </w:rPr>
        <w:lastRenderedPageBreak/>
        <w:t>samodzielnie rozwiązuje problemy teoretyczne i praktyczne objęte programem nauczania w danej klasie, potrafi</w:t>
      </w:r>
      <w:r>
        <w:rPr>
          <w:sz w:val="20"/>
          <w:szCs w:val="20"/>
        </w:rPr>
        <w:t xml:space="preserve"> zastosować posiadaną wiedzę do </w:t>
      </w:r>
      <w:r w:rsidRPr="00BF7B13">
        <w:rPr>
          <w:sz w:val="20"/>
          <w:szCs w:val="20"/>
        </w:rPr>
        <w:t>rozwiązywania zadań i problemów w nowych sytuacjach.</w:t>
      </w:r>
    </w:p>
    <w:p w:rsidR="006748CD" w:rsidRDefault="006748CD" w:rsidP="006748CD">
      <w:pPr>
        <w:numPr>
          <w:ilvl w:val="0"/>
          <w:numId w:val="30"/>
        </w:numPr>
        <w:jc w:val="both"/>
        <w:rPr>
          <w:sz w:val="20"/>
          <w:szCs w:val="20"/>
        </w:rPr>
      </w:pPr>
      <w:r w:rsidRPr="006748CD">
        <w:rPr>
          <w:b/>
          <w:sz w:val="20"/>
          <w:szCs w:val="20"/>
        </w:rPr>
        <w:t>Stopień celujący</w:t>
      </w:r>
      <w:r w:rsidRPr="006748CD">
        <w:rPr>
          <w:sz w:val="20"/>
          <w:szCs w:val="20"/>
        </w:rPr>
        <w:t xml:space="preserve"> – otrzymuje uczeń, który twórczo i samodzielnie rozwija własne uzdolnienia i zainteresowania, posiada wiedzę i umiejętności znacznie wykraczające poza program nauczania matematyki w danej klasie, biegle posługuje się zdobytymi wiadomościami w rozwiązywaniu problemów teoretycznych i praktycznych z programu nauczania danej klasy, proponuje rozwiązania nietypowe, osiąga sukcesy w konkursach i olimpiadach przedmiotowych, kwalifikując się do finału na szczeblu wojewódzkim (regionalnym) lub krajowym albo posiada inne, porównywalne osiągnięcia.</w:t>
      </w:r>
    </w:p>
    <w:p w:rsidR="006748CD" w:rsidRPr="006748CD" w:rsidRDefault="006748CD" w:rsidP="006748CD">
      <w:pPr>
        <w:ind w:left="644"/>
        <w:jc w:val="both"/>
        <w:rPr>
          <w:sz w:val="20"/>
          <w:szCs w:val="20"/>
        </w:rPr>
      </w:pPr>
    </w:p>
    <w:p w:rsidR="00713358" w:rsidRPr="006748CD" w:rsidRDefault="006748CD" w:rsidP="00437050">
      <w:pPr>
        <w:spacing w:after="120" w:line="120" w:lineRule="atLeast"/>
        <w:jc w:val="both"/>
        <w:rPr>
          <w:rFonts w:asciiTheme="majorHAnsi" w:hAnsiTheme="majorHAnsi"/>
          <w:b/>
          <w:sz w:val="22"/>
          <w:szCs w:val="22"/>
        </w:rPr>
      </w:pPr>
      <w:r w:rsidRPr="006748CD">
        <w:rPr>
          <w:rFonts w:asciiTheme="majorHAnsi" w:hAnsiTheme="majorHAnsi"/>
          <w:b/>
          <w:sz w:val="22"/>
          <w:szCs w:val="22"/>
        </w:rPr>
        <w:t>P</w:t>
      </w:r>
      <w:r w:rsidR="00713358" w:rsidRPr="006748CD">
        <w:rPr>
          <w:rFonts w:asciiTheme="majorHAnsi" w:hAnsiTheme="majorHAnsi"/>
          <w:b/>
          <w:sz w:val="22"/>
          <w:szCs w:val="22"/>
        </w:rPr>
        <w:t>odział wymagań na poszczególne oceny szkolne:</w:t>
      </w:r>
    </w:p>
    <w:p w:rsidR="00713358" w:rsidRPr="006748CD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0"/>
          <w:szCs w:val="20"/>
        </w:rPr>
      </w:pPr>
      <w:r w:rsidRPr="006748CD">
        <w:rPr>
          <w:sz w:val="20"/>
          <w:szCs w:val="20"/>
        </w:rPr>
        <w:t>ocena dopuszczająca</w:t>
      </w:r>
      <w:r w:rsidRPr="006748CD">
        <w:rPr>
          <w:sz w:val="20"/>
          <w:szCs w:val="20"/>
        </w:rPr>
        <w:tab/>
        <w:t xml:space="preserve">– </w:t>
      </w:r>
      <w:r w:rsidRPr="006748CD">
        <w:rPr>
          <w:sz w:val="20"/>
          <w:szCs w:val="20"/>
        </w:rPr>
        <w:tab/>
        <w:t>wymagania na poziomie</w:t>
      </w:r>
      <w:r w:rsidR="00AC4A3B" w:rsidRPr="006748CD">
        <w:rPr>
          <w:sz w:val="20"/>
          <w:szCs w:val="20"/>
        </w:rPr>
        <w:t xml:space="preserve"> koniecznym</w:t>
      </w:r>
      <w:r w:rsidRPr="006748CD">
        <w:rPr>
          <w:sz w:val="20"/>
          <w:szCs w:val="20"/>
        </w:rPr>
        <w:t xml:space="preserve"> (K)</w:t>
      </w:r>
    </w:p>
    <w:p w:rsidR="00713358" w:rsidRPr="006748CD" w:rsidRDefault="00713358" w:rsidP="00437050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0"/>
          <w:szCs w:val="20"/>
        </w:rPr>
      </w:pPr>
      <w:r w:rsidRPr="006748CD">
        <w:rPr>
          <w:sz w:val="20"/>
          <w:szCs w:val="20"/>
        </w:rPr>
        <w:t>ocena dostateczna</w:t>
      </w:r>
      <w:r w:rsidRPr="006748CD">
        <w:rPr>
          <w:sz w:val="20"/>
          <w:szCs w:val="20"/>
        </w:rPr>
        <w:tab/>
        <w:t xml:space="preserve">– </w:t>
      </w:r>
      <w:r w:rsidRPr="006748CD">
        <w:rPr>
          <w:sz w:val="20"/>
          <w:szCs w:val="20"/>
        </w:rPr>
        <w:tab/>
        <w:t>wymagania na poziomie</w:t>
      </w:r>
      <w:r w:rsidR="00AC4A3B" w:rsidRPr="006748CD">
        <w:rPr>
          <w:sz w:val="20"/>
          <w:szCs w:val="20"/>
        </w:rPr>
        <w:t xml:space="preserve"> koniecznym i podstawowym</w:t>
      </w:r>
      <w:r w:rsidRPr="006748CD">
        <w:rPr>
          <w:sz w:val="20"/>
          <w:szCs w:val="20"/>
        </w:rPr>
        <w:t xml:space="preserve"> (K) i (P)</w:t>
      </w:r>
    </w:p>
    <w:p w:rsidR="00713358" w:rsidRPr="006748CD" w:rsidRDefault="00713358" w:rsidP="00E13DF2">
      <w:pPr>
        <w:tabs>
          <w:tab w:val="left" w:pos="2880"/>
          <w:tab w:val="left" w:pos="3240"/>
        </w:tabs>
        <w:spacing w:line="120" w:lineRule="atLeast"/>
        <w:ind w:left="3261" w:hanging="2541"/>
        <w:jc w:val="both"/>
        <w:rPr>
          <w:sz w:val="20"/>
          <w:szCs w:val="20"/>
        </w:rPr>
      </w:pPr>
      <w:r w:rsidRPr="006748CD">
        <w:rPr>
          <w:sz w:val="20"/>
          <w:szCs w:val="20"/>
        </w:rPr>
        <w:t>ocena dobra</w:t>
      </w:r>
      <w:r w:rsidRPr="006748CD">
        <w:rPr>
          <w:sz w:val="20"/>
          <w:szCs w:val="20"/>
        </w:rPr>
        <w:tab/>
        <w:t xml:space="preserve">– </w:t>
      </w:r>
      <w:r w:rsidRPr="006748CD">
        <w:rPr>
          <w:sz w:val="20"/>
          <w:szCs w:val="20"/>
        </w:rPr>
        <w:tab/>
        <w:t xml:space="preserve">wymagania na poziomie </w:t>
      </w:r>
      <w:r w:rsidR="00E13DF2" w:rsidRPr="006748CD">
        <w:rPr>
          <w:sz w:val="20"/>
          <w:szCs w:val="20"/>
        </w:rPr>
        <w:t>koniecznym,  podstawowym i</w:t>
      </w:r>
      <w:r w:rsidR="006748CD" w:rsidRPr="006748CD">
        <w:rPr>
          <w:sz w:val="20"/>
          <w:szCs w:val="20"/>
        </w:rPr>
        <w:t> </w:t>
      </w:r>
      <w:r w:rsidR="00E13DF2" w:rsidRPr="006748CD">
        <w:rPr>
          <w:sz w:val="20"/>
          <w:szCs w:val="20"/>
        </w:rPr>
        <w:t>rozszerzającym</w:t>
      </w:r>
      <w:r w:rsidRPr="006748CD">
        <w:rPr>
          <w:sz w:val="20"/>
          <w:szCs w:val="20"/>
        </w:rPr>
        <w:t>(K), (P) i (R)</w:t>
      </w:r>
    </w:p>
    <w:p w:rsidR="00713358" w:rsidRPr="006748CD" w:rsidRDefault="00713358" w:rsidP="00E13DF2">
      <w:pPr>
        <w:tabs>
          <w:tab w:val="left" w:pos="2880"/>
          <w:tab w:val="left" w:pos="3240"/>
        </w:tabs>
        <w:spacing w:line="120" w:lineRule="atLeast"/>
        <w:ind w:left="3261" w:hanging="2541"/>
        <w:jc w:val="both"/>
        <w:rPr>
          <w:sz w:val="20"/>
          <w:szCs w:val="20"/>
        </w:rPr>
      </w:pPr>
      <w:r w:rsidRPr="006748CD">
        <w:rPr>
          <w:sz w:val="20"/>
          <w:szCs w:val="20"/>
        </w:rPr>
        <w:t>ocena bardzo dobra</w:t>
      </w:r>
      <w:r w:rsidRPr="006748CD">
        <w:rPr>
          <w:sz w:val="20"/>
          <w:szCs w:val="20"/>
        </w:rPr>
        <w:tab/>
        <w:t xml:space="preserve">– </w:t>
      </w:r>
      <w:r w:rsidRPr="006748CD">
        <w:rPr>
          <w:sz w:val="20"/>
          <w:szCs w:val="20"/>
        </w:rPr>
        <w:tab/>
        <w:t xml:space="preserve">wymagania na poziomie </w:t>
      </w:r>
      <w:r w:rsidR="00E13DF2" w:rsidRPr="006748CD">
        <w:rPr>
          <w:sz w:val="20"/>
          <w:szCs w:val="20"/>
        </w:rPr>
        <w:t xml:space="preserve">koniecznym,  podstawowym,  rozszerzającym i dopełniającym </w:t>
      </w:r>
      <w:r w:rsidRPr="006748CD">
        <w:rPr>
          <w:sz w:val="20"/>
          <w:szCs w:val="20"/>
        </w:rPr>
        <w:t>(K), (P), (R) i (D)</w:t>
      </w:r>
    </w:p>
    <w:p w:rsidR="00713358" w:rsidRPr="006748CD" w:rsidRDefault="00713358" w:rsidP="00E13DF2">
      <w:pPr>
        <w:tabs>
          <w:tab w:val="left" w:pos="2880"/>
        </w:tabs>
        <w:spacing w:line="120" w:lineRule="atLeast"/>
        <w:ind w:left="3261" w:hanging="2541"/>
        <w:jc w:val="both"/>
        <w:rPr>
          <w:sz w:val="20"/>
          <w:szCs w:val="20"/>
        </w:rPr>
      </w:pPr>
      <w:r w:rsidRPr="006748CD">
        <w:rPr>
          <w:sz w:val="20"/>
          <w:szCs w:val="20"/>
        </w:rPr>
        <w:t>ocena celująca</w:t>
      </w:r>
      <w:r w:rsidRPr="006748CD">
        <w:rPr>
          <w:sz w:val="20"/>
          <w:szCs w:val="20"/>
        </w:rPr>
        <w:tab/>
        <w:t xml:space="preserve">– </w:t>
      </w:r>
      <w:r w:rsidRPr="006748CD">
        <w:rPr>
          <w:sz w:val="20"/>
          <w:szCs w:val="20"/>
        </w:rPr>
        <w:tab/>
        <w:t xml:space="preserve">wymagania na poziomie </w:t>
      </w:r>
      <w:r w:rsidR="00E13DF2" w:rsidRPr="006748CD">
        <w:rPr>
          <w:sz w:val="20"/>
          <w:szCs w:val="20"/>
        </w:rPr>
        <w:t xml:space="preserve">koniecznym,  podstawowym  rozszerzającym, </w:t>
      </w:r>
      <w:r w:rsidR="006748CD" w:rsidRPr="006748CD">
        <w:rPr>
          <w:sz w:val="20"/>
          <w:szCs w:val="20"/>
        </w:rPr>
        <w:t>dopełniającym</w:t>
      </w:r>
      <w:r w:rsidR="00E13DF2" w:rsidRPr="006748CD">
        <w:rPr>
          <w:sz w:val="20"/>
          <w:szCs w:val="20"/>
        </w:rPr>
        <w:t xml:space="preserve"> i wykraczającym</w:t>
      </w:r>
      <w:r w:rsidRPr="006748CD">
        <w:rPr>
          <w:sz w:val="20"/>
          <w:szCs w:val="20"/>
        </w:rPr>
        <w:t>(K), (P), (R), (D) i (W)</w:t>
      </w:r>
    </w:p>
    <w:p w:rsidR="00713358" w:rsidRPr="00437050" w:rsidRDefault="00713358" w:rsidP="00437050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6748CD" w:rsidRDefault="006748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lastRenderedPageBreak/>
        <w:t>1. LICZBY RZECZYWISTE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>
        <w:tc>
          <w:tcPr>
            <w:tcW w:w="9212" w:type="dxa"/>
          </w:tcPr>
          <w:p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B22A80" w:rsidRPr="00437050" w:rsidTr="004573F7">
        <w:tc>
          <w:tcPr>
            <w:tcW w:w="9062" w:type="dxa"/>
          </w:tcPr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:rsidTr="004573F7">
        <w:tc>
          <w:tcPr>
            <w:tcW w:w="9062" w:type="dxa"/>
          </w:tcPr>
          <w:p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:rsidTr="004573F7">
        <w:tc>
          <w:tcPr>
            <w:tcW w:w="9062" w:type="dxa"/>
          </w:tcPr>
          <w:p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 w:rsidTr="00E45B1F">
        <w:tc>
          <w:tcPr>
            <w:tcW w:w="9212" w:type="dxa"/>
          </w:tcPr>
          <w:p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:rsidTr="00E45B1F">
        <w:tc>
          <w:tcPr>
            <w:tcW w:w="9212" w:type="dxa"/>
          </w:tcPr>
          <w:p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>
        <w:tc>
          <w:tcPr>
            <w:tcW w:w="9212" w:type="dxa"/>
          </w:tcPr>
          <w:p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>
        <w:tc>
          <w:tcPr>
            <w:tcW w:w="9212" w:type="dxa"/>
          </w:tcPr>
          <w:p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>
        <w:tc>
          <w:tcPr>
            <w:tcW w:w="9212" w:type="dxa"/>
          </w:tcPr>
          <w:p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>
        <w:tc>
          <w:tcPr>
            <w:tcW w:w="9212" w:type="dxa"/>
          </w:tcPr>
          <w:p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>
        <w:tc>
          <w:tcPr>
            <w:tcW w:w="9212" w:type="dxa"/>
          </w:tcPr>
          <w:p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>
        <w:tc>
          <w:tcPr>
            <w:tcW w:w="9212" w:type="dxa"/>
          </w:tcPr>
          <w:p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>
        <w:tc>
          <w:tcPr>
            <w:tcW w:w="9212" w:type="dxa"/>
          </w:tcPr>
          <w:p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7.25pt" o:ole="">
                  <v:imagedata r:id="rId8" o:title=""/>
                </v:shape>
                <o:OLEObject Type="Embed" ProgID="Equation.3" ShapeID="_x0000_i1025" DrawAspect="Content" ObjectID="_1723812789" r:id="rId9"/>
              </w:objec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72897" w:rsidRPr="00437050">
        <w:tc>
          <w:tcPr>
            <w:tcW w:w="9212" w:type="dxa"/>
          </w:tcPr>
          <w:p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6" type="#_x0000_t75" style="width:33pt;height:15pt" o:ole="">
                  <v:imagedata r:id="rId10" o:title=""/>
                </v:shape>
                <o:OLEObject Type="Embed" ProgID="Equation.3" ShapeID="_x0000_i1026" DrawAspect="Content" ObjectID="_1723812790" r:id="rId11"/>
              </w:object>
            </w:r>
          </w:p>
        </w:tc>
      </w:tr>
      <w:tr w:rsidR="00BD5FE9" w:rsidRPr="00437050">
        <w:tc>
          <w:tcPr>
            <w:tcW w:w="9212" w:type="dxa"/>
          </w:tcPr>
          <w:p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27" type="#_x0000_t75" style="width:36pt;height:27pt" o:ole="">
                  <v:imagedata r:id="rId12" o:title=""/>
                </v:shape>
                <o:OLEObject Type="Embed" ProgID="Equation.3" ShapeID="_x0000_i1027" DrawAspect="Content" ObjectID="_1723812791" r:id="rId13"/>
              </w:objec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>
        <w:tc>
          <w:tcPr>
            <w:tcW w:w="9212" w:type="dxa"/>
          </w:tcPr>
          <w:p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>
        <w:tc>
          <w:tcPr>
            <w:tcW w:w="9212" w:type="dxa"/>
          </w:tcPr>
          <w:p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:rsidTr="00C97FC8">
        <w:tc>
          <w:tcPr>
            <w:tcW w:w="9212" w:type="dxa"/>
          </w:tcPr>
          <w:p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dobiera współczynniki liczbowe w układzie równań tak, aby dana para liczb była jego rozwiązaniem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:rsidTr="00C97FC8">
        <w:tc>
          <w:tcPr>
            <w:tcW w:w="9212" w:type="dxa"/>
          </w:tcPr>
          <w:p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E2C89" w:rsidRPr="00437050" w:rsidTr="004E2C89">
        <w:tc>
          <w:tcPr>
            <w:tcW w:w="9212" w:type="dxa"/>
          </w:tcPr>
          <w:p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:rsidR="00DC2F33" w:rsidRDefault="00DC2F33">
      <w:pPr>
        <w:rPr>
          <w:rFonts w:asciiTheme="majorHAnsi" w:hAnsiTheme="majorHAnsi"/>
          <w:b/>
          <w:bCs/>
          <w:szCs w:val="22"/>
        </w:rPr>
      </w:pPr>
    </w:p>
    <w:p w:rsidR="00CD3AB8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4. FUNKC</w:t>
      </w:r>
      <w:bookmarkStart w:id="0" w:name="_GoBack"/>
      <w:bookmarkEnd w:id="0"/>
      <w:r w:rsidRPr="000E37BC">
        <w:rPr>
          <w:rFonts w:asciiTheme="majorHAnsi" w:hAnsiTheme="majorHAnsi"/>
          <w:szCs w:val="22"/>
        </w:rPr>
        <w:t>JE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:rsidTr="007A262B">
        <w:tc>
          <w:tcPr>
            <w:tcW w:w="9062" w:type="dxa"/>
          </w:tcPr>
          <w:p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:rsidTr="007A262B">
        <w:tc>
          <w:tcPr>
            <w:tcW w:w="906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28" type="#_x0000_t75" style="width:54.75pt;height:15pt" o:ole="">
                  <v:imagedata r:id="rId14" o:title=""/>
                </v:shape>
                <o:OLEObject Type="Embed" ProgID="Equation.3" ShapeID="_x0000_i1028" DrawAspect="Content" ObjectID="_1723812792" r:id="rId1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29" type="#_x0000_t75" style="width:53.25pt;height:15pt" o:ole="">
                  <v:imagedata r:id="rId16" o:title=""/>
                </v:shape>
                <o:OLEObject Type="Embed" ProgID="Equation.3" ShapeID="_x0000_i1029" DrawAspect="Content" ObjectID="_1723812793" r:id="rId17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0" type="#_x0000_t75" style="width:68.25pt;height:15pt" o:ole="">
                  <v:imagedata r:id="rId18" o:title=""/>
                </v:shape>
                <o:OLEObject Type="Embed" ProgID="Equation.3" ShapeID="_x0000_i1030" DrawAspect="Content" ObjectID="_1723812794" r:id="rId19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1" type="#_x0000_t75" style="width:42.75pt;height:15pt" o:ole="">
                  <v:imagedata r:id="rId20" o:title=""/>
                </v:shape>
                <o:OLEObject Type="Embed" ProgID="Equation.3" ShapeID="_x0000_i1031" DrawAspect="Content" ObjectID="_1723812795" r:id="rId21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2" type="#_x0000_t75" style="width:38.25pt;height:15pt" o:ole="">
                  <v:imagedata r:id="rId22" o:title=""/>
                </v:shape>
                <o:OLEObject Type="Embed" ProgID="Equation.3" ShapeID="_x0000_i1032" DrawAspect="Content" ObjectID="_1723812796" r:id="rId23"/>
              </w:objec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 współrzędne punktu należącego do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wykresu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="006748CD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3" type="#_x0000_t75" style="width:180pt;height:17.25pt" o:ole="">
                  <v:imagedata r:id="rId24" o:title=""/>
                </v:shape>
                <o:OLEObject Type="Embed" ProgID="Equation.3" ShapeID="_x0000_i1033" DrawAspect="Content" ObjectID="_1723812797" r:id="rId2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="006748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:rsidTr="00CD3AB8">
        <w:tc>
          <w:tcPr>
            <w:tcW w:w="921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wykresy funkcji, stosując przekształcenia wykresu, w trudniejszych przypadkach</w:t>
            </w:r>
          </w:p>
        </w:tc>
      </w:tr>
      <w:tr w:rsidR="00C82D24" w:rsidRPr="00437050" w:rsidTr="00CD3AB8">
        <w:tc>
          <w:tcPr>
            <w:tcW w:w="9212" w:type="dxa"/>
          </w:tcPr>
          <w:p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3AB8" w:rsidRPr="00437050" w:rsidTr="00CD3AB8">
        <w:tc>
          <w:tcPr>
            <w:tcW w:w="9212" w:type="dxa"/>
          </w:tcPr>
          <w:p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34" type="#_x0000_t75" style="width:38.25pt;height:27.75pt" o:ole="">
                  <v:imagedata r:id="rId26" o:title=""/>
                </v:shape>
                <o:OLEObject Type="Embed" ProgID="Equation.3" ShapeID="_x0000_i1034" DrawAspect="Content" ObjectID="_1723812798" r:id="rId27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5</w:t>
      </w:r>
      <w:r w:rsidR="00F42F42" w:rsidRPr="000E37BC">
        <w:rPr>
          <w:rFonts w:asciiTheme="majorHAnsi" w:hAnsiTheme="majorHAnsi"/>
          <w:szCs w:val="22"/>
        </w:rPr>
        <w:t xml:space="preserve">. </w:t>
      </w:r>
      <w:r w:rsidR="001218AA" w:rsidRPr="000E37BC">
        <w:rPr>
          <w:rFonts w:asciiTheme="majorHAnsi" w:hAnsiTheme="majorHAnsi"/>
          <w:szCs w:val="22"/>
        </w:rPr>
        <w:t>FUNKCJA LINIOWA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437050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A372D9" w:rsidRPr="00437050" w:rsidTr="003D2D3C">
        <w:tc>
          <w:tcPr>
            <w:tcW w:w="9062" w:type="dxa"/>
          </w:tcPr>
          <w:p w:rsidR="00A372D9" w:rsidRPr="00437050" w:rsidRDefault="00A96AF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dane współrzędne </w:t>
            </w:r>
            <w:r w:rsidR="00113869" w:rsidRPr="00437050">
              <w:rPr>
                <w:rFonts w:asciiTheme="majorHAnsi" w:hAnsiTheme="majorHAnsi"/>
                <w:sz w:val="22"/>
                <w:szCs w:val="22"/>
              </w:rPr>
              <w:t>dwóch punktów należących do tej prostej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437050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B3FCB" w:rsidRPr="00437050">
              <w:rPr>
                <w:rFonts w:asciiTheme="majorHAnsi" w:hAnsiTheme="majorHAnsi"/>
                <w:sz w:val="22"/>
                <w:szCs w:val="22"/>
              </w:rPr>
              <w:t xml:space="preserve">równanie prostej przechodzącej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przez dane dwa punkty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równoległy do wykresu danej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4B3FCB" w:rsidRPr="00437050" w:rsidTr="003D2D3C">
        <w:tc>
          <w:tcPr>
            <w:tcW w:w="9062" w:type="dxa"/>
          </w:tcPr>
          <w:p w:rsidR="004B3FCB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 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>równań metodą algebraiczną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 xml:space="preserve"> graficzną 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832AA6" w:rsidRPr="00437050" w:rsidTr="003D2D3C">
        <w:tc>
          <w:tcPr>
            <w:tcW w:w="9062" w:type="dxa"/>
          </w:tcPr>
          <w:p w:rsidR="00832AA6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437050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własności funkcji liniowej w zadaniach dotyczących wielokątów 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DB5F30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DB5F30" w:rsidRPr="00437050">
        <w:tc>
          <w:tcPr>
            <w:tcW w:w="9212" w:type="dxa"/>
          </w:tcPr>
          <w:p w:rsidR="00DB5F30" w:rsidRPr="00437050" w:rsidRDefault="00C8244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DB5F30" w:rsidRPr="00437050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  <w:tr w:rsidR="00C01047" w:rsidRPr="00437050">
        <w:tc>
          <w:tcPr>
            <w:tcW w:w="9212" w:type="dxa"/>
          </w:tcPr>
          <w:p w:rsidR="00C01047" w:rsidRPr="00437050" w:rsidRDefault="00C0104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:rsidR="00B10C0F" w:rsidRPr="00437050" w:rsidRDefault="00B10C0F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0D1711" w:rsidRPr="000E37BC" w:rsidRDefault="000D1711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6. PLANIMETRIA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trójkąty: ostrokątne, prostokątne, rozwartokątne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sumie miar kątów w trójkącie</w:t>
            </w:r>
            <w:r w:rsidR="003D10A1" w:rsidRPr="00437050">
              <w:rPr>
                <w:rFonts w:asciiTheme="majorHAnsi" w:hAnsiTheme="majorHAnsi"/>
                <w:sz w:val="22"/>
                <w:szCs w:val="22"/>
              </w:rPr>
              <w:t xml:space="preserve"> w prostych przypadkach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podobieństwo trójkątów, wykorzystując cechy podobieństwa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dane figury są podobne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wskazuje w wielokątach odcinki proporcjonalne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707C99" w:rsidRPr="00437050" w:rsidTr="000D1711">
        <w:tc>
          <w:tcPr>
            <w:tcW w:w="9212" w:type="dxa"/>
          </w:tcPr>
          <w:p w:rsidR="00707C99" w:rsidRPr="00437050" w:rsidRDefault="00C8244F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>równoległość prostych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 xml:space="preserve"> stosując twierdzenie odwrotne do twierdzenia Talesa</w:t>
            </w:r>
          </w:p>
        </w:tc>
      </w:tr>
      <w:tr w:rsidR="005F1D46" w:rsidRPr="00437050" w:rsidTr="000D1711">
        <w:tc>
          <w:tcPr>
            <w:tcW w:w="9212" w:type="dxa"/>
          </w:tcPr>
          <w:p w:rsidR="005F1D46" w:rsidRPr="00437050" w:rsidRDefault="0070262B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sumę miar kątów danego wielokąta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liczbę boków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wielokąta,</w:t>
            </w:r>
            <w:r w:rsidR="006748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daną sumę miar jego kątów wewnętrznych 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praktycznych problemów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i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D1711" w:rsidRPr="00437050" w:rsidRDefault="000D1711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Talesa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oraz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twierdzenia odwrotnego do twierdzenia Talesa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DC5B26" w:rsidRPr="00437050">
              <w:rPr>
                <w:rFonts w:asciiTheme="majorHAnsi" w:hAnsiTheme="majorHAnsi"/>
                <w:sz w:val="22"/>
                <w:szCs w:val="22"/>
              </w:rPr>
              <w:t>twierdzenie o dwusiecznej kąta w trójkącie w zadaniach wymagających przeprowadzenia dowodu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przystawania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podobieństw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figur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dwusiecznej kąta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 trójkącie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DC2F33" w:rsidRDefault="00DC2F33" w:rsidP="00437050">
      <w:pPr>
        <w:spacing w:line="120" w:lineRule="atLeast"/>
        <w:jc w:val="both"/>
        <w:rPr>
          <w:rFonts w:asciiTheme="majorHAnsi" w:hAnsiTheme="majorHAnsi"/>
          <w:b/>
        </w:rPr>
      </w:pPr>
    </w:p>
    <w:p w:rsidR="001218AA" w:rsidRPr="000E37BC" w:rsidRDefault="00B10C0F" w:rsidP="00437050">
      <w:pPr>
        <w:spacing w:line="120" w:lineRule="atLeast"/>
        <w:jc w:val="both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</w:rPr>
        <w:t>7</w:t>
      </w:r>
      <w:r w:rsidR="005B0925" w:rsidRPr="000E37BC">
        <w:rPr>
          <w:rFonts w:asciiTheme="majorHAnsi" w:hAnsiTheme="majorHAnsi"/>
          <w:b/>
        </w:rPr>
        <w:t xml:space="preserve">. </w:t>
      </w:r>
      <w:r w:rsidR="00A55117">
        <w:rPr>
          <w:rFonts w:asciiTheme="majorHAnsi" w:hAnsiTheme="majorHAnsi"/>
          <w:b/>
        </w:rPr>
        <w:t>WSTĘP</w:t>
      </w:r>
      <w:r w:rsidR="000D1711" w:rsidRPr="000E37BC">
        <w:rPr>
          <w:rFonts w:asciiTheme="majorHAnsi" w:hAnsiTheme="majorHAnsi"/>
          <w:b/>
        </w:rPr>
        <w:t xml:space="preserve"> DO </w:t>
      </w:r>
      <w:r w:rsidR="000E37BC">
        <w:rPr>
          <w:rFonts w:asciiTheme="majorHAnsi" w:hAnsiTheme="majorHAnsi"/>
          <w:b/>
          <w:bCs/>
        </w:rPr>
        <w:t>FUNKCJI KWADRATOWEJ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</w:t>
            </w:r>
            <w:r w:rsidR="001218AA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5" type="#_x0000_t75" style="width:47.25pt;height:17.25pt" o:ole="">
                  <v:imagedata r:id="rId28" o:title=""/>
                </v:shape>
                <o:OLEObject Type="Embed" ProgID="Equation.3" ShapeID="_x0000_i1035" DrawAspect="Content" ObjectID="_1723812799" r:id="rId29"/>
              </w:objec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9F338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ustala wzór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funkcji kwadratowej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 postaci kanonicznej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podstawie informacji o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FF1B75" w:rsidRPr="00437050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FF1B75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6" type="#_x0000_t75" style="width:47.25pt;height:17.25pt" o:ole="">
                  <v:imagedata r:id="rId28" o:title=""/>
                </v:shape>
                <o:OLEObject Type="Embed" ProgID="Equation.3" ShapeID="_x0000_i1036" DrawAspect="Content" ObjectID="_1723812800" r:id="rId30"/>
              </w:objec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wzór funkcji kwadratowej z postaci kanonicznej do postaci ogólnej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F51BB2" w:rsidRPr="00437050">
        <w:tc>
          <w:tcPr>
            <w:tcW w:w="9212" w:type="dxa"/>
          </w:tcPr>
          <w:p w:rsidR="00F51BB2" w:rsidRPr="00437050" w:rsidRDefault="00F51BB2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współrzędne wierzchołka paraboli</w:t>
            </w:r>
            <w:r w:rsidR="0013257E" w:rsidRPr="00437050">
              <w:rPr>
                <w:rFonts w:asciiTheme="majorHAnsi" w:hAnsiTheme="majorHAnsi"/>
                <w:sz w:val="22"/>
                <w:szCs w:val="22"/>
              </w:rPr>
              <w:t>, podaje równanie jej osi symetrii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ma dane współrzędne wierzchołka i innego punktu jej wykresu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F1B75" w:rsidRPr="00437050">
        <w:tc>
          <w:tcPr>
            <w:tcW w:w="9212" w:type="dxa"/>
          </w:tcPr>
          <w:p w:rsidR="00FF1B75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szkicuje wykres fun</w:t>
            </w:r>
            <w:r w:rsidR="00F51BB2" w:rsidRPr="00437050">
              <w:rPr>
                <w:rFonts w:asciiTheme="majorHAnsi" w:hAnsiTheme="majorHAnsi"/>
                <w:sz w:val="22"/>
                <w:szCs w:val="22"/>
              </w:rPr>
              <w:t xml:space="preserve">kcji kwadratowej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podaje jej własności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C25E9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 na podstawie informacji o jej własnościach, np. zbiorze wartości, maksymalnych przedziałach </w:t>
            </w:r>
            <w:r w:rsidR="00166533" w:rsidRPr="00437050">
              <w:rPr>
                <w:rFonts w:asciiTheme="majorHAnsi" w:hAnsiTheme="majorHAnsi"/>
                <w:sz w:val="22"/>
                <w:szCs w:val="22"/>
              </w:rPr>
              <w:t>monotoniczności</w:t>
            </w:r>
          </w:p>
        </w:tc>
      </w:tr>
    </w:tbl>
    <w:p w:rsidR="00C3709C" w:rsidRPr="00437050" w:rsidRDefault="00C3709C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ogólnych danych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wzór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funkcj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kwadratow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z postaci ogólnej do postaci kanonicznej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wzory na współrzędne wierzchołka paraboli</w:t>
            </w:r>
          </w:p>
        </w:tc>
      </w:tr>
      <w:tr w:rsidR="00EF06CD" w:rsidRPr="00437050">
        <w:tc>
          <w:tcPr>
            <w:tcW w:w="9212" w:type="dxa"/>
          </w:tcPr>
          <w:p w:rsidR="00EF06CD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</w:t>
            </w:r>
            <w:r w:rsidR="00932E51" w:rsidRPr="00437050">
              <w:rPr>
                <w:rFonts w:asciiTheme="majorHAnsi" w:hAnsiTheme="majorHAnsi"/>
                <w:bCs/>
                <w:sz w:val="22"/>
                <w:szCs w:val="22"/>
              </w:rPr>
              <w:t>znym stopniu trudności dotyczące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funkcji kwad</w:t>
            </w:r>
            <w:r w:rsidR="008D5818" w:rsidRPr="00437050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atowej</w:t>
            </w:r>
          </w:p>
        </w:tc>
      </w:tr>
    </w:tbl>
    <w:p w:rsidR="000F528D" w:rsidRPr="00437050" w:rsidRDefault="000F528D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0F528D" w:rsidRPr="00437050" w:rsidRDefault="000F528D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437050" w:rsidSect="00437050">
      <w:footerReference w:type="even" r:id="rId31"/>
      <w:footerReference w:type="default" r:id="rId32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29" w:rsidRDefault="00A72729">
      <w:r>
        <w:separator/>
      </w:r>
    </w:p>
  </w:endnote>
  <w:endnote w:type="continuationSeparator" w:id="1">
    <w:p w:rsidR="00A72729" w:rsidRDefault="00A7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CD" w:rsidRDefault="006748CD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48CD" w:rsidRDefault="006748CD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CD" w:rsidRDefault="006748CD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154FB2">
      <w:rPr>
        <w:rFonts w:asciiTheme="minorHAnsi" w:hAnsiTheme="minorHAnsi" w:cstheme="minorHAnsi"/>
        <w:b/>
        <w:noProof/>
      </w:rPr>
      <w:t>3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29" w:rsidRDefault="00A72729">
      <w:r>
        <w:separator/>
      </w:r>
    </w:p>
  </w:footnote>
  <w:footnote w:type="continuationSeparator" w:id="1">
    <w:p w:rsidR="00A72729" w:rsidRDefault="00A7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B36B4B"/>
    <w:multiLevelType w:val="hybridMultilevel"/>
    <w:tmpl w:val="F39E8A8C"/>
    <w:lvl w:ilvl="0" w:tplc="D73C9E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DF0FCA6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01A7586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F722E8"/>
    <w:multiLevelType w:val="hybridMultilevel"/>
    <w:tmpl w:val="A3381390"/>
    <w:lvl w:ilvl="0" w:tplc="17DCB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C57EB"/>
    <w:multiLevelType w:val="hybridMultilevel"/>
    <w:tmpl w:val="4D1EE4E2"/>
    <w:lvl w:ilvl="0" w:tplc="3BA0B8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04D96"/>
    <w:multiLevelType w:val="hybridMultilevel"/>
    <w:tmpl w:val="56BE46D0"/>
    <w:lvl w:ilvl="0" w:tplc="D3A4E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441E11"/>
    <w:multiLevelType w:val="multilevel"/>
    <w:tmpl w:val="B3EE52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1">
    <w:nsid w:val="285B582A"/>
    <w:multiLevelType w:val="hybridMultilevel"/>
    <w:tmpl w:val="672A1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460CD"/>
    <w:multiLevelType w:val="hybridMultilevel"/>
    <w:tmpl w:val="CA68818A"/>
    <w:lvl w:ilvl="0" w:tplc="E0B64FB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C3067C"/>
    <w:multiLevelType w:val="multilevel"/>
    <w:tmpl w:val="884077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E020C"/>
    <w:multiLevelType w:val="hybridMultilevel"/>
    <w:tmpl w:val="72A22D14"/>
    <w:lvl w:ilvl="0" w:tplc="D2B4D3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17698"/>
    <w:multiLevelType w:val="multilevel"/>
    <w:tmpl w:val="EF2898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>
    <w:nsid w:val="5A6513E2"/>
    <w:multiLevelType w:val="hybridMultilevel"/>
    <w:tmpl w:val="754ED3B2"/>
    <w:lvl w:ilvl="0" w:tplc="B088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4F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95596"/>
    <w:multiLevelType w:val="hybridMultilevel"/>
    <w:tmpl w:val="A270326E"/>
    <w:lvl w:ilvl="0" w:tplc="69009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3C9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7"/>
  </w:num>
  <w:num w:numId="5">
    <w:abstractNumId w:val="6"/>
  </w:num>
  <w:num w:numId="6">
    <w:abstractNumId w:val="9"/>
  </w:num>
  <w:num w:numId="7">
    <w:abstractNumId w:val="24"/>
  </w:num>
  <w:num w:numId="8">
    <w:abstractNumId w:val="15"/>
  </w:num>
  <w:num w:numId="9">
    <w:abstractNumId w:val="18"/>
  </w:num>
  <w:num w:numId="10">
    <w:abstractNumId w:val="16"/>
  </w:num>
  <w:num w:numId="11">
    <w:abstractNumId w:val="28"/>
  </w:num>
  <w:num w:numId="12">
    <w:abstractNumId w:val="23"/>
  </w:num>
  <w:num w:numId="13">
    <w:abstractNumId w:val="20"/>
  </w:num>
  <w:num w:numId="14">
    <w:abstractNumId w:val="14"/>
  </w:num>
  <w:num w:numId="15">
    <w:abstractNumId w:val="1"/>
  </w:num>
  <w:num w:numId="16">
    <w:abstractNumId w:val="0"/>
  </w:num>
  <w:num w:numId="17">
    <w:abstractNumId w:val="27"/>
  </w:num>
  <w:num w:numId="18">
    <w:abstractNumId w:val="17"/>
  </w:num>
  <w:num w:numId="19">
    <w:abstractNumId w:val="25"/>
  </w:num>
  <w:num w:numId="20">
    <w:abstractNumId w:val="30"/>
  </w:num>
  <w:num w:numId="21">
    <w:abstractNumId w:val="19"/>
  </w:num>
  <w:num w:numId="22">
    <w:abstractNumId w:val="10"/>
  </w:num>
  <w:num w:numId="23">
    <w:abstractNumId w:val="21"/>
  </w:num>
  <w:num w:numId="24">
    <w:abstractNumId w:val="8"/>
  </w:num>
  <w:num w:numId="25">
    <w:abstractNumId w:val="4"/>
  </w:num>
  <w:num w:numId="26">
    <w:abstractNumId w:val="13"/>
  </w:num>
  <w:num w:numId="27">
    <w:abstractNumId w:val="3"/>
  </w:num>
  <w:num w:numId="28">
    <w:abstractNumId w:val="2"/>
  </w:num>
  <w:num w:numId="29">
    <w:abstractNumId w:val="22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3A96"/>
    <w:rsid w:val="00064BFC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4FB2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0D90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748CD"/>
    <w:rsid w:val="00682BC0"/>
    <w:rsid w:val="0068433F"/>
    <w:rsid w:val="00686158"/>
    <w:rsid w:val="00690B1B"/>
    <w:rsid w:val="00696BAB"/>
    <w:rsid w:val="006A3017"/>
    <w:rsid w:val="006A7F8A"/>
    <w:rsid w:val="006D162F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72729"/>
    <w:rsid w:val="00A94102"/>
    <w:rsid w:val="00A9592B"/>
    <w:rsid w:val="00A96AFF"/>
    <w:rsid w:val="00AA1270"/>
    <w:rsid w:val="00AB2B6D"/>
    <w:rsid w:val="00AC410F"/>
    <w:rsid w:val="00AC4A3B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71BE"/>
    <w:rsid w:val="00E13DF2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93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C4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8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4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uiPriority w:val="99"/>
    <w:rsid w:val="006748C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748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3FF-EFA6-4C15-B4BD-C7390A88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4254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jkozubal</cp:lastModifiedBy>
  <cp:revision>4</cp:revision>
  <cp:lastPrinted>2007-07-18T08:53:00Z</cp:lastPrinted>
  <dcterms:created xsi:type="dcterms:W3CDTF">2022-09-04T13:45:00Z</dcterms:created>
  <dcterms:modified xsi:type="dcterms:W3CDTF">2022-09-04T14:06:00Z</dcterms:modified>
</cp:coreProperties>
</file>